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5F" w:rsidRDefault="0024545F" w:rsidP="0024545F">
      <w:pPr>
        <w:jc w:val="right"/>
        <w:rPr>
          <w:b/>
          <w:lang w:val="it-IT"/>
        </w:rPr>
      </w:pPr>
      <w:r>
        <w:rPr>
          <w:b/>
          <w:lang w:val="it-IT"/>
        </w:rPr>
        <w:t>Prospetto di offerta economica</w:t>
      </w:r>
    </w:p>
    <w:p w:rsidR="0024545F" w:rsidRDefault="0024545F" w:rsidP="004573D8">
      <w:pPr>
        <w:jc w:val="center"/>
        <w:rPr>
          <w:b/>
          <w:lang w:val="it-IT"/>
        </w:rPr>
      </w:pPr>
    </w:p>
    <w:p w:rsidR="004573D8" w:rsidRDefault="004573D8" w:rsidP="004573D8">
      <w:pPr>
        <w:jc w:val="center"/>
        <w:rPr>
          <w:b/>
          <w:lang w:val="it-IT"/>
        </w:rPr>
      </w:pPr>
      <w:r w:rsidRPr="004573D8">
        <w:rPr>
          <w:b/>
          <w:lang w:val="it-IT"/>
        </w:rPr>
        <w:t>PROCEDURA APERTA PER L’AFFIDAMENTO DEL SERVIZIO DI TESORERIA</w:t>
      </w:r>
      <w:r w:rsidR="00D611EC">
        <w:rPr>
          <w:b/>
          <w:lang w:val="it-IT"/>
        </w:rPr>
        <w:t xml:space="preserve"> OCCORRENTE ALL’ASL VC</w:t>
      </w:r>
    </w:p>
    <w:p w:rsidR="00D611EC" w:rsidRPr="004573D8" w:rsidRDefault="00D611EC" w:rsidP="004573D8">
      <w:pPr>
        <w:jc w:val="center"/>
        <w:rPr>
          <w:b/>
          <w:lang w:val="it-IT"/>
        </w:rPr>
      </w:pPr>
      <w:bookmarkStart w:id="0" w:name="_GoBack"/>
      <w:bookmarkEnd w:id="0"/>
    </w:p>
    <w:p w:rsidR="004573D8" w:rsidRDefault="004573D8" w:rsidP="004573D8">
      <w:pPr>
        <w:jc w:val="center"/>
        <w:rPr>
          <w:b/>
          <w:lang w:val="it-IT"/>
        </w:rPr>
      </w:pPr>
      <w:r w:rsidRPr="004573D8">
        <w:rPr>
          <w:b/>
          <w:lang w:val="it-IT"/>
        </w:rPr>
        <w:t>OFFERTA ECONOMICA</w:t>
      </w:r>
    </w:p>
    <w:p w:rsidR="004573D8" w:rsidRDefault="004573D8" w:rsidP="004573D8">
      <w:pPr>
        <w:jc w:val="center"/>
        <w:rPr>
          <w:b/>
          <w:lang w:val="it-IT"/>
        </w:rPr>
      </w:pPr>
    </w:p>
    <w:p w:rsidR="004573D8" w:rsidRPr="004573D8" w:rsidRDefault="004573D8" w:rsidP="004573D8">
      <w:pPr>
        <w:jc w:val="center"/>
        <w:rPr>
          <w:b/>
          <w:lang w:val="it-IT"/>
        </w:rPr>
      </w:pPr>
    </w:p>
    <w:p w:rsidR="004573D8" w:rsidRDefault="004573D8">
      <w:pPr>
        <w:rPr>
          <w:lang w:val="it-IT"/>
        </w:rPr>
      </w:pPr>
      <w:r>
        <w:rPr>
          <w:lang w:val="it-IT"/>
        </w:rPr>
        <w:t>Denominazione Istituto di Credito _________________________________________________________</w:t>
      </w:r>
    </w:p>
    <w:p w:rsidR="0024545F" w:rsidRDefault="0024545F">
      <w:pPr>
        <w:rPr>
          <w:lang w:val="it-IT"/>
        </w:rPr>
      </w:pPr>
    </w:p>
    <w:p w:rsidR="0024545F" w:rsidRDefault="0024545F" w:rsidP="0024545F">
      <w:pPr>
        <w:autoSpaceDE w:val="0"/>
        <w:autoSpaceDN w:val="0"/>
        <w:adjustRightInd w:val="0"/>
        <w:jc w:val="both"/>
      </w:pPr>
    </w:p>
    <w:p w:rsidR="0024545F" w:rsidRDefault="0024545F" w:rsidP="0024545F">
      <w:pPr>
        <w:autoSpaceDE w:val="0"/>
        <w:autoSpaceDN w:val="0"/>
        <w:adjustRightInd w:val="0"/>
        <w:jc w:val="both"/>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6532"/>
        <w:gridCol w:w="2279"/>
        <w:gridCol w:w="1671"/>
      </w:tblGrid>
      <w:tr w:rsidR="00F21BB2" w:rsidRPr="00D53DF2" w:rsidTr="00F21BB2">
        <w:trPr>
          <w:jc w:val="center"/>
        </w:trPr>
        <w:tc>
          <w:tcPr>
            <w:tcW w:w="570" w:type="dxa"/>
          </w:tcPr>
          <w:p w:rsidR="00F21BB2" w:rsidRPr="0006492F" w:rsidRDefault="00F21BB2" w:rsidP="00332895">
            <w:pPr>
              <w:pStyle w:val="Paragrafoelenco1"/>
              <w:spacing w:after="0" w:line="240" w:lineRule="auto"/>
              <w:ind w:left="0"/>
              <w:jc w:val="center"/>
              <w:rPr>
                <w:rFonts w:ascii="Times New Roman" w:hAnsi="Times New Roman"/>
                <w:b/>
              </w:rPr>
            </w:pPr>
            <w:r w:rsidRPr="0006492F">
              <w:rPr>
                <w:rFonts w:ascii="Times New Roman" w:hAnsi="Times New Roman"/>
                <w:b/>
              </w:rPr>
              <w:t>N.</w:t>
            </w:r>
          </w:p>
        </w:tc>
        <w:tc>
          <w:tcPr>
            <w:tcW w:w="6532" w:type="dxa"/>
          </w:tcPr>
          <w:p w:rsidR="00F21BB2" w:rsidRPr="0006492F" w:rsidRDefault="00F21BB2" w:rsidP="00332895">
            <w:pPr>
              <w:pStyle w:val="Paragrafoelenco1"/>
              <w:spacing w:after="0" w:line="240" w:lineRule="auto"/>
              <w:ind w:left="0"/>
              <w:jc w:val="center"/>
              <w:rPr>
                <w:rFonts w:ascii="Times New Roman" w:hAnsi="Times New Roman"/>
                <w:b/>
              </w:rPr>
            </w:pPr>
            <w:r w:rsidRPr="0006492F">
              <w:rPr>
                <w:rFonts w:ascii="Times New Roman" w:hAnsi="Times New Roman"/>
                <w:b/>
              </w:rPr>
              <w:t>Criterio</w:t>
            </w:r>
          </w:p>
        </w:tc>
        <w:tc>
          <w:tcPr>
            <w:tcW w:w="2279" w:type="dxa"/>
          </w:tcPr>
          <w:p w:rsidR="00F21BB2" w:rsidRPr="0006492F" w:rsidRDefault="00F21BB2" w:rsidP="00332895">
            <w:pPr>
              <w:pStyle w:val="Paragrafoelenco1"/>
              <w:spacing w:after="0" w:line="240" w:lineRule="auto"/>
              <w:ind w:left="0"/>
              <w:jc w:val="center"/>
              <w:rPr>
                <w:rFonts w:ascii="Times New Roman" w:hAnsi="Times New Roman"/>
                <w:b/>
              </w:rPr>
            </w:pPr>
            <w:r w:rsidRPr="0006492F">
              <w:rPr>
                <w:rFonts w:ascii="Times New Roman" w:hAnsi="Times New Roman"/>
                <w:b/>
              </w:rPr>
              <w:t>Punteggio Massimo</w:t>
            </w:r>
          </w:p>
        </w:tc>
        <w:tc>
          <w:tcPr>
            <w:tcW w:w="1671" w:type="dxa"/>
          </w:tcPr>
          <w:p w:rsidR="00F21BB2" w:rsidRPr="0006492F" w:rsidRDefault="00F21BB2" w:rsidP="00332895">
            <w:pPr>
              <w:pStyle w:val="Paragrafoelenco1"/>
              <w:spacing w:after="0" w:line="240" w:lineRule="auto"/>
              <w:ind w:left="0"/>
              <w:jc w:val="center"/>
              <w:rPr>
                <w:rFonts w:ascii="Times New Roman" w:hAnsi="Times New Roman"/>
                <w:b/>
              </w:rPr>
            </w:pPr>
            <w:r>
              <w:rPr>
                <w:rFonts w:ascii="Times New Roman" w:hAnsi="Times New Roman"/>
                <w:b/>
              </w:rPr>
              <w:t>Valore</w:t>
            </w: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1</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Tasso unico a debito per l’eventuale ricorso all’anticipazione ordinaria e straordinaria di cassa, con riferimento a un indebitamento massimo autorizzato stimato in euro 29.000.000 e un utilizzo medio annuo stimato di euro 200.000: sulle eventuali anticipazioni di cassa verrà applicato il tasso determinato con riferimento all’indice Euribor a tre mesi maggiorato della percentuale offerta.</w:t>
            </w:r>
          </w:p>
        </w:tc>
        <w:tc>
          <w:tcPr>
            <w:tcW w:w="2279" w:type="dxa"/>
            <w:vAlign w:val="center"/>
          </w:tcPr>
          <w:p w:rsidR="00F21BB2" w:rsidRPr="0006492F" w:rsidRDefault="00F21BB2" w:rsidP="00F21BB2">
            <w:pPr>
              <w:pStyle w:val="Paragrafoelenco1"/>
              <w:spacing w:after="0" w:line="240" w:lineRule="auto"/>
              <w:ind w:left="0"/>
              <w:rPr>
                <w:rFonts w:ascii="Times New Roman" w:hAnsi="Times New Roman"/>
                <w:sz w:val="21"/>
                <w:szCs w:val="21"/>
              </w:rPr>
            </w:pPr>
            <w:r>
              <w:rPr>
                <w:rFonts w:ascii="Times New Roman" w:hAnsi="Times New Roman"/>
                <w:sz w:val="21"/>
                <w:szCs w:val="21"/>
              </w:rPr>
              <w:t xml:space="preserve">       </w:t>
            </w:r>
            <w:r w:rsidRPr="0006492F">
              <w:rPr>
                <w:rFonts w:ascii="Times New Roman" w:hAnsi="Times New Roman"/>
                <w:sz w:val="21"/>
                <w:szCs w:val="21"/>
              </w:rPr>
              <w:t>Tasso unico</w:t>
            </w:r>
          </w:p>
        </w:tc>
        <w:tc>
          <w:tcPr>
            <w:tcW w:w="1671" w:type="dxa"/>
          </w:tcPr>
          <w:p w:rsidR="00F21BB2" w:rsidRPr="0006492F" w:rsidRDefault="00F21BB2" w:rsidP="00F21BB2">
            <w:pPr>
              <w:pStyle w:val="Paragrafoelenco1"/>
              <w:spacing w:after="0" w:line="240" w:lineRule="auto"/>
              <w:ind w:left="0"/>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2</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Rimborso spese forfettario per la gestione degli ordinativi di pagamento e di riscossione elettronici, con riferimento a un numero complessivo di 40.000 documenti; ogni anno verrà riconosciuto l’importo offerto.</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Importo annuale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3</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Canone mensile del P.O.S. fissi; per ogni apparecchio installato verrà riconosciuto il canone mensile offerto.</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Canone mensile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4</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Canone mensile del P.O.S. cordless; per ogni apparecchio installato verrà riconosciuto il canone mensile offerto.</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Canone mensile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5</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Commissione sul transato dei P.O.S. negoziazione carte Pagobancomat; per ogni riscossione con carta Pagobancomat verrà riconosciuta la percentuale sul transato offerta.</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Percentuale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6</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Commissione sul ritirato per l’eventuale richiesta di raccolta giornaliera di valori (banconote) presso la sede dei vari servizi aziendali con agenti riscossori con rendiconti resi separatamente: per ogni riscossione verrà riconosciuta la percentuale sul valore delle banconote ritirate offerta.</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Percentuale sul valore delle banconote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7</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Commissione sul ritirato per l’eventuale richiesta di raccolta giornaliera di valori (monete) presso la sede dei vari servizi aziendali con agenti riscossori con rendiconti resi separatamente: per ogni riscossione verrà riconosciuta la percentuale sul valore delle monete ritirate offerta.</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Percentuale sul valore delle monete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8</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Commissione sul transato dei P.O.S. negoziazione sui circuiti delle carte di credito; per ogni riscossione con carta di credito verrà riconosciuta la percentuale sul transato offerta.</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Percentuale</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r w:rsidR="00F21BB2" w:rsidRPr="00D53DF2" w:rsidTr="00F21BB2">
        <w:trPr>
          <w:jc w:val="center"/>
        </w:trPr>
        <w:tc>
          <w:tcPr>
            <w:tcW w:w="570" w:type="dxa"/>
            <w:vAlign w:val="center"/>
          </w:tcPr>
          <w:p w:rsidR="00F21BB2" w:rsidRPr="0006492F" w:rsidRDefault="00F21BB2" w:rsidP="00332895">
            <w:pPr>
              <w:jc w:val="center"/>
              <w:rPr>
                <w:sz w:val="21"/>
                <w:szCs w:val="21"/>
              </w:rPr>
            </w:pPr>
            <w:r>
              <w:rPr>
                <w:sz w:val="21"/>
                <w:szCs w:val="21"/>
              </w:rPr>
              <w:t>9</w:t>
            </w:r>
          </w:p>
        </w:tc>
        <w:tc>
          <w:tcPr>
            <w:tcW w:w="6532" w:type="dxa"/>
          </w:tcPr>
          <w:p w:rsidR="00F21BB2" w:rsidRPr="0006492F" w:rsidRDefault="00F21BB2" w:rsidP="00332895">
            <w:pPr>
              <w:jc w:val="both"/>
              <w:rPr>
                <w:sz w:val="21"/>
                <w:szCs w:val="21"/>
              </w:rPr>
            </w:pPr>
            <w:r w:rsidRPr="0006492F">
              <w:rPr>
                <w:sz w:val="21"/>
                <w:szCs w:val="21"/>
              </w:rPr>
              <w:t>Tasso a debito per l’eventuale richiesta di rilascio di fideiussioni, su richiesta dell’A.S.L. per l’esecuzione di opere pubbliche, acquisti di cespiti, o a garanzia di adempimenti contrattuali, con riferimento a un possibile importo medio annuo stimato di euro 100.000.</w:t>
            </w:r>
          </w:p>
        </w:tc>
        <w:tc>
          <w:tcPr>
            <w:tcW w:w="2279" w:type="dxa"/>
            <w:vAlign w:val="center"/>
          </w:tcPr>
          <w:p w:rsidR="00F21BB2" w:rsidRPr="0006492F" w:rsidRDefault="00F21BB2" w:rsidP="00332895">
            <w:pPr>
              <w:jc w:val="center"/>
              <w:rPr>
                <w:sz w:val="21"/>
                <w:szCs w:val="21"/>
              </w:rPr>
            </w:pPr>
            <w:r>
              <w:rPr>
                <w:sz w:val="21"/>
                <w:szCs w:val="21"/>
              </w:rPr>
              <w:t>Tasso</w:t>
            </w:r>
          </w:p>
        </w:tc>
        <w:tc>
          <w:tcPr>
            <w:tcW w:w="1671" w:type="dxa"/>
          </w:tcPr>
          <w:p w:rsidR="00F21BB2" w:rsidRDefault="00F21BB2" w:rsidP="00332895">
            <w:pPr>
              <w:jc w:val="center"/>
              <w:rPr>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10</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Tasso creditore annuo sulle giacenze dei conti correnti aperti necessari per lo svolgimento dell’attività (es. conto corrente della cassa economale); verrà corrisposto il tasso determinato con riferimento all’indice Euribor a tre mesi diminuito della percentuale indicata con aggiornamento del tasso all’inizio di ogni trimestre. Lo stesso tasso verrà corrisposto ai conti di tesoreria in capo all’A.S.L. “VC” eventualmente accesi presso il Tesoriere, per i quali precise norme legislative ne autorizzano l’attivazione.</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sz w:val="21"/>
                <w:szCs w:val="21"/>
              </w:rPr>
              <w:t>Tasso creditore annuo</w:t>
            </w:r>
          </w:p>
        </w:tc>
        <w:tc>
          <w:tcPr>
            <w:tcW w:w="1671" w:type="dxa"/>
          </w:tcPr>
          <w:p w:rsidR="00F21BB2" w:rsidRDefault="00F21BB2" w:rsidP="00332895">
            <w:pPr>
              <w:pStyle w:val="Paragrafoelenco1"/>
              <w:spacing w:after="0" w:line="240" w:lineRule="auto"/>
              <w:ind w:left="0"/>
              <w:jc w:val="center"/>
              <w:rPr>
                <w:sz w:val="21"/>
                <w:szCs w:val="21"/>
              </w:rPr>
            </w:pPr>
          </w:p>
        </w:tc>
      </w:tr>
      <w:tr w:rsidR="00F21BB2" w:rsidRPr="00D53DF2" w:rsidTr="00F21BB2">
        <w:trPr>
          <w:jc w:val="center"/>
        </w:trPr>
        <w:tc>
          <w:tcPr>
            <w:tcW w:w="570"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11</w:t>
            </w:r>
          </w:p>
        </w:tc>
        <w:tc>
          <w:tcPr>
            <w:tcW w:w="6532" w:type="dxa"/>
          </w:tcPr>
          <w:p w:rsidR="00F21BB2" w:rsidRPr="0006492F" w:rsidRDefault="00F21BB2" w:rsidP="00332895">
            <w:pPr>
              <w:pStyle w:val="Paragrafoelenco1"/>
              <w:spacing w:after="0" w:line="240" w:lineRule="auto"/>
              <w:ind w:left="0"/>
              <w:jc w:val="both"/>
              <w:rPr>
                <w:rFonts w:ascii="Times New Roman" w:hAnsi="Times New Roman"/>
                <w:sz w:val="21"/>
                <w:szCs w:val="21"/>
              </w:rPr>
            </w:pPr>
            <w:r w:rsidRPr="0006492F">
              <w:rPr>
                <w:rFonts w:ascii="Times New Roman" w:hAnsi="Times New Roman"/>
                <w:sz w:val="21"/>
                <w:szCs w:val="21"/>
              </w:rPr>
              <w:t>Canone annuo di locazione cassetta di sicurezza della dimensione minima disponibile.</w:t>
            </w:r>
          </w:p>
        </w:tc>
        <w:tc>
          <w:tcPr>
            <w:tcW w:w="2279" w:type="dxa"/>
            <w:vAlign w:val="center"/>
          </w:tcPr>
          <w:p w:rsidR="00F21BB2" w:rsidRPr="0006492F" w:rsidRDefault="00F21BB2" w:rsidP="00332895">
            <w:pPr>
              <w:pStyle w:val="Paragrafoelenco1"/>
              <w:spacing w:after="0" w:line="240" w:lineRule="auto"/>
              <w:ind w:left="0"/>
              <w:jc w:val="center"/>
              <w:rPr>
                <w:rFonts w:ascii="Times New Roman" w:hAnsi="Times New Roman"/>
                <w:sz w:val="21"/>
                <w:szCs w:val="21"/>
              </w:rPr>
            </w:pPr>
            <w:r>
              <w:rPr>
                <w:rFonts w:ascii="Times New Roman" w:hAnsi="Times New Roman"/>
                <w:sz w:val="21"/>
                <w:szCs w:val="21"/>
              </w:rPr>
              <w:t>Canone annuo</w:t>
            </w:r>
          </w:p>
        </w:tc>
        <w:tc>
          <w:tcPr>
            <w:tcW w:w="1671" w:type="dxa"/>
          </w:tcPr>
          <w:p w:rsidR="00F21BB2" w:rsidRDefault="00F21BB2" w:rsidP="00332895">
            <w:pPr>
              <w:pStyle w:val="Paragrafoelenco1"/>
              <w:spacing w:after="0" w:line="240" w:lineRule="auto"/>
              <w:ind w:left="0"/>
              <w:jc w:val="center"/>
              <w:rPr>
                <w:rFonts w:ascii="Times New Roman" w:hAnsi="Times New Roman"/>
                <w:sz w:val="21"/>
                <w:szCs w:val="21"/>
              </w:rPr>
            </w:pPr>
          </w:p>
        </w:tc>
      </w:tr>
    </w:tbl>
    <w:p w:rsidR="0024545F" w:rsidRDefault="0024545F" w:rsidP="0024545F">
      <w:pPr>
        <w:autoSpaceDE w:val="0"/>
        <w:autoSpaceDN w:val="0"/>
        <w:adjustRightInd w:val="0"/>
        <w:jc w:val="both"/>
      </w:pPr>
    </w:p>
    <w:p w:rsidR="0024545F" w:rsidRPr="004573D8" w:rsidRDefault="0024545F">
      <w:pPr>
        <w:rPr>
          <w:lang w:val="it-IT"/>
        </w:rPr>
      </w:pPr>
    </w:p>
    <w:p w:rsidR="0024545F" w:rsidRDefault="00845530">
      <w:p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Oneri della sicurezza da interferenza (non soggetti a ribasso)</w:t>
      </w:r>
      <w:r w:rsidR="00361D10">
        <w:rPr>
          <w:rFonts w:ascii="Times New Roman" w:eastAsia="Times New Roman" w:hAnsi="Times New Roman" w:cs="Times New Roman"/>
          <w:szCs w:val="24"/>
          <w:lang w:val="it-IT" w:eastAsia="it-IT"/>
        </w:rPr>
        <w:t>:</w:t>
      </w:r>
      <w:r w:rsidRPr="005055DD">
        <w:rPr>
          <w:rFonts w:ascii="Times New Roman" w:eastAsia="Times New Roman" w:hAnsi="Times New Roman" w:cs="Times New Roman"/>
          <w:szCs w:val="24"/>
          <w:lang w:val="it-IT" w:eastAsia="it-IT"/>
        </w:rPr>
        <w:t xml:space="preserve"> </w:t>
      </w:r>
    </w:p>
    <w:p w:rsidR="007C4A13" w:rsidRPr="005055DD" w:rsidRDefault="007C4A13">
      <w:p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lastRenderedPageBreak/>
        <w:t>Oneri di sicurezza aziendali:</w:t>
      </w:r>
    </w:p>
    <w:p w:rsidR="007C4A13" w:rsidRPr="005055DD" w:rsidRDefault="007C4A13">
      <w:pPr>
        <w:rPr>
          <w:rFonts w:ascii="Times New Roman" w:eastAsia="Times New Roman" w:hAnsi="Times New Roman" w:cs="Times New Roman"/>
          <w:szCs w:val="24"/>
          <w:lang w:val="it-IT" w:eastAsia="it-IT"/>
        </w:rPr>
      </w:pPr>
    </w:p>
    <w:p w:rsidR="007C4A13" w:rsidRPr="005055DD" w:rsidRDefault="007C4A13">
      <w:p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L’offerta dovrà contenere la dichiarazione che la Ditta nel redigerla ha:</w:t>
      </w:r>
    </w:p>
    <w:p w:rsidR="00D41A1B" w:rsidRPr="005055DD" w:rsidRDefault="00D41A1B" w:rsidP="00D41A1B">
      <w:pPr>
        <w:pStyle w:val="Paragrafoelenco"/>
        <w:numPr>
          <w:ilvl w:val="0"/>
          <w:numId w:val="1"/>
        </w:numPr>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 xml:space="preserve">Tenuto conto degli obblighi relativi alle disposizioni in materia di sicurezza, condizioni di </w:t>
      </w:r>
      <w:r w:rsidR="00742580" w:rsidRPr="005055DD">
        <w:rPr>
          <w:rFonts w:ascii="Times New Roman" w:eastAsia="Times New Roman" w:hAnsi="Times New Roman" w:cs="Times New Roman"/>
          <w:szCs w:val="24"/>
          <w:lang w:val="it-IT" w:eastAsia="it-IT"/>
        </w:rPr>
        <w:t>lavoro, previdenza e assistenza;</w:t>
      </w:r>
    </w:p>
    <w:p w:rsidR="00742580" w:rsidRPr="005055DD" w:rsidRDefault="00742580" w:rsidP="00630E22">
      <w:pPr>
        <w:pStyle w:val="Paragrafoelenco"/>
        <w:numPr>
          <w:ilvl w:val="0"/>
          <w:numId w:val="1"/>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Rispettato le disposizioni del Ministero del Lavoro e le tabelle costo orario relativamente al trattamento economico dei dipendenti e che, pertanto il costo del lavoro calcolato per formulare l’offerta non è inferiore al costo stabilito dal CCNL</w:t>
      </w:r>
      <w:r w:rsidR="00630E22" w:rsidRPr="005055DD">
        <w:rPr>
          <w:rFonts w:ascii="Times New Roman" w:eastAsia="Times New Roman" w:hAnsi="Times New Roman" w:cs="Times New Roman"/>
          <w:szCs w:val="24"/>
          <w:lang w:val="it-IT" w:eastAsia="it-IT"/>
        </w:rPr>
        <w:t xml:space="preserve"> Comparto Sanità.</w:t>
      </w:r>
    </w:p>
    <w:p w:rsidR="00630E22" w:rsidRPr="005055DD" w:rsidRDefault="00630E22" w:rsidP="00630E22">
      <w:pPr>
        <w:ind w:left="360"/>
        <w:jc w:val="both"/>
        <w:rPr>
          <w:rFonts w:ascii="Times New Roman" w:eastAsia="Times New Roman" w:hAnsi="Times New Roman" w:cs="Times New Roman"/>
          <w:szCs w:val="24"/>
          <w:lang w:val="it-IT" w:eastAsia="it-IT"/>
        </w:rPr>
      </w:pPr>
    </w:p>
    <w:p w:rsidR="00630E22" w:rsidRPr="005055DD" w:rsidRDefault="00630E22" w:rsidP="00630E22">
      <w:pPr>
        <w:ind w:left="360"/>
        <w:jc w:val="both"/>
        <w:rPr>
          <w:rFonts w:ascii="Times New Roman" w:eastAsia="Times New Roman" w:hAnsi="Times New Roman" w:cs="Times New Roman"/>
          <w:szCs w:val="24"/>
          <w:lang w:val="it-IT" w:eastAsia="it-IT"/>
        </w:rPr>
      </w:pPr>
    </w:p>
    <w:p w:rsidR="00630E22" w:rsidRPr="005055DD" w:rsidRDefault="00630E22" w:rsidP="00630E22">
      <w:pPr>
        <w:ind w:left="360"/>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L’offerta economica deve altresì contenere le seguenti dichiarazioni:</w:t>
      </w:r>
    </w:p>
    <w:p w:rsidR="00630E22"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w:t>
      </w:r>
      <w:r w:rsidR="00630E22" w:rsidRPr="005055DD">
        <w:rPr>
          <w:rFonts w:ascii="Times New Roman" w:eastAsia="Times New Roman" w:hAnsi="Times New Roman" w:cs="Times New Roman"/>
          <w:szCs w:val="24"/>
          <w:lang w:val="it-IT" w:eastAsia="it-IT"/>
        </w:rPr>
        <w:t>i avere preso visione e di accettare, senza condizione o riserva alcuna, tutte le norme e disposizioni contenute nel bando di gara, nel disciplinare di gara, nel disciplinare tecnico e nei documenti ed allegati ivi richiamati;</w:t>
      </w:r>
    </w:p>
    <w:p w:rsidR="00630E22"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w:t>
      </w:r>
      <w:r w:rsidR="00630E22" w:rsidRPr="005055DD">
        <w:rPr>
          <w:rFonts w:ascii="Times New Roman" w:eastAsia="Times New Roman" w:hAnsi="Times New Roman" w:cs="Times New Roman"/>
          <w:szCs w:val="24"/>
          <w:lang w:val="it-IT" w:eastAsia="it-IT"/>
        </w:rPr>
        <w:t>i aver valutato tutte le circostanze e condizioni contrattuali che possono influire sull’esecuzione del servizio e di aver considerato la propria offerta, nel suo complesso, congrua e remunerativa;</w:t>
      </w:r>
    </w:p>
    <w:p w:rsidR="00630E22"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w:t>
      </w:r>
      <w:r w:rsidR="00630E22" w:rsidRPr="005055DD">
        <w:rPr>
          <w:rFonts w:ascii="Times New Roman" w:eastAsia="Times New Roman" w:hAnsi="Times New Roman" w:cs="Times New Roman"/>
          <w:szCs w:val="24"/>
          <w:lang w:val="it-IT" w:eastAsia="it-IT"/>
        </w:rPr>
        <w:t>i approvare specificatamente le clausole onerose del disciplinare di ga</w:t>
      </w:r>
      <w:r w:rsidRPr="005055DD">
        <w:rPr>
          <w:rFonts w:ascii="Times New Roman" w:eastAsia="Times New Roman" w:hAnsi="Times New Roman" w:cs="Times New Roman"/>
          <w:szCs w:val="24"/>
          <w:lang w:val="it-IT" w:eastAsia="it-IT"/>
        </w:rPr>
        <w:t>r</w:t>
      </w:r>
      <w:r w:rsidR="00630E22" w:rsidRPr="005055DD">
        <w:rPr>
          <w:rFonts w:ascii="Times New Roman" w:eastAsia="Times New Roman" w:hAnsi="Times New Roman" w:cs="Times New Roman"/>
          <w:szCs w:val="24"/>
          <w:lang w:val="it-IT" w:eastAsia="it-IT"/>
        </w:rPr>
        <w:t>a ai sensi e per gli effetti dell’articolo 1341</w:t>
      </w:r>
      <w:r w:rsidRPr="005055DD">
        <w:rPr>
          <w:rFonts w:ascii="Times New Roman" w:eastAsia="Times New Roman" w:hAnsi="Times New Roman" w:cs="Times New Roman"/>
          <w:szCs w:val="24"/>
          <w:lang w:val="it-IT" w:eastAsia="it-IT"/>
        </w:rPr>
        <w:t xml:space="preserve"> cod. civ.</w:t>
      </w:r>
    </w:p>
    <w:p w:rsidR="00F21950"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di aver tenuto conto degli obblighi relativi alle disposizioni in materia di sicurezza, condizioni di lavoro, previdenza e assistenza;</w:t>
      </w:r>
    </w:p>
    <w:p w:rsidR="00F21950" w:rsidRPr="005055DD" w:rsidRDefault="00F21950" w:rsidP="00630E22">
      <w:pPr>
        <w:pStyle w:val="Paragrafoelenco"/>
        <w:numPr>
          <w:ilvl w:val="0"/>
          <w:numId w:val="2"/>
        </w:num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di aver rispettato le disposizioni del Ministero del lavoro e le tabelle costo orario relativamente al trattamento economico dei dipendenti e che, pertanto, il costo del lavoro calcolato per formulare l’offerta non è inferiore al costo stabilito dal CCNL applicabile.</w:t>
      </w: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r w:rsidRPr="005055DD">
        <w:rPr>
          <w:rFonts w:ascii="Times New Roman" w:eastAsia="Times New Roman" w:hAnsi="Times New Roman" w:cs="Times New Roman"/>
          <w:szCs w:val="24"/>
          <w:lang w:val="it-IT" w:eastAsia="it-IT"/>
        </w:rPr>
        <w:t>Luogo e data</w:t>
      </w: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5A50F1" w:rsidP="005A50F1">
      <w:pPr>
        <w:jc w:val="both"/>
        <w:rPr>
          <w:rFonts w:ascii="Times New Roman" w:eastAsia="Times New Roman" w:hAnsi="Times New Roman" w:cs="Times New Roman"/>
          <w:szCs w:val="24"/>
          <w:lang w:val="it-IT" w:eastAsia="it-IT"/>
        </w:rPr>
      </w:pPr>
    </w:p>
    <w:p w:rsidR="005A50F1" w:rsidRPr="005055DD" w:rsidRDefault="0024545F" w:rsidP="005A50F1">
      <w:pPr>
        <w:jc w:val="both"/>
        <w:rPr>
          <w:rFonts w:ascii="Times New Roman" w:eastAsia="Times New Roman" w:hAnsi="Times New Roman" w:cs="Times New Roman"/>
          <w:szCs w:val="24"/>
          <w:lang w:val="it-IT" w:eastAsia="it-IT"/>
        </w:rPr>
      </w:pPr>
      <w:r>
        <w:rPr>
          <w:rFonts w:ascii="Times New Roman" w:eastAsia="Times New Roman" w:hAnsi="Times New Roman" w:cs="Times New Roman"/>
          <w:szCs w:val="24"/>
          <w:lang w:val="it-IT" w:eastAsia="it-IT"/>
        </w:rPr>
        <w:t xml:space="preserve">                                                                                                                                           </w:t>
      </w:r>
      <w:r w:rsidR="005A50F1" w:rsidRPr="005055DD">
        <w:rPr>
          <w:rFonts w:ascii="Times New Roman" w:eastAsia="Times New Roman" w:hAnsi="Times New Roman" w:cs="Times New Roman"/>
          <w:szCs w:val="24"/>
          <w:lang w:val="it-IT" w:eastAsia="it-IT"/>
        </w:rPr>
        <w:t>firma</w:t>
      </w:r>
    </w:p>
    <w:p w:rsidR="007C4A13" w:rsidRPr="004573D8" w:rsidRDefault="007C4A13" w:rsidP="00630E22">
      <w:pPr>
        <w:jc w:val="both"/>
        <w:rPr>
          <w:lang w:val="it-IT"/>
        </w:rPr>
      </w:pPr>
    </w:p>
    <w:sectPr w:rsidR="007C4A13" w:rsidRPr="004573D8" w:rsidSect="004573D8">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A4" w:rsidRDefault="00EB3BA4" w:rsidP="004573D8">
      <w:r>
        <w:separator/>
      </w:r>
    </w:p>
  </w:endnote>
  <w:endnote w:type="continuationSeparator" w:id="0">
    <w:p w:rsidR="00EB3BA4" w:rsidRDefault="00EB3BA4" w:rsidP="004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A4" w:rsidRDefault="00EB3BA4" w:rsidP="004573D8">
      <w:r>
        <w:separator/>
      </w:r>
    </w:p>
  </w:footnote>
  <w:footnote w:type="continuationSeparator" w:id="0">
    <w:p w:rsidR="00EB3BA4" w:rsidRDefault="00EB3BA4" w:rsidP="00457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588A"/>
    <w:multiLevelType w:val="hybridMultilevel"/>
    <w:tmpl w:val="C01C8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584AC0"/>
    <w:multiLevelType w:val="hybridMultilevel"/>
    <w:tmpl w:val="E9F2A854"/>
    <w:lvl w:ilvl="0" w:tplc="F8A44B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D"/>
    <w:rsid w:val="0024545F"/>
    <w:rsid w:val="002F2E9C"/>
    <w:rsid w:val="00311486"/>
    <w:rsid w:val="00361D10"/>
    <w:rsid w:val="004573D8"/>
    <w:rsid w:val="005055DD"/>
    <w:rsid w:val="005A50F1"/>
    <w:rsid w:val="006305C3"/>
    <w:rsid w:val="00630E22"/>
    <w:rsid w:val="0066459D"/>
    <w:rsid w:val="006E1376"/>
    <w:rsid w:val="00742580"/>
    <w:rsid w:val="007C4A13"/>
    <w:rsid w:val="00845530"/>
    <w:rsid w:val="00D1125F"/>
    <w:rsid w:val="00D41A1B"/>
    <w:rsid w:val="00D611EC"/>
    <w:rsid w:val="00EB3BA4"/>
    <w:rsid w:val="00F21950"/>
    <w:rsid w:val="00F21BB2"/>
    <w:rsid w:val="00F9370B"/>
    <w:rsid w:val="00FB4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CAF"/>
  <w15:chartTrackingRefBased/>
  <w15:docId w15:val="{927900BD-A08C-4FAF-8C71-6F36FA3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573D8"/>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573D8"/>
    <w:pPr>
      <w:ind w:left="116"/>
    </w:pPr>
    <w:rPr>
      <w:rFonts w:ascii="Liberation Serif" w:eastAsia="Liberation Serif" w:hAnsi="Liberation Serif"/>
      <w:sz w:val="20"/>
      <w:szCs w:val="20"/>
    </w:rPr>
  </w:style>
  <w:style w:type="character" w:customStyle="1" w:styleId="CorpotestoCarattere">
    <w:name w:val="Corpo testo Carattere"/>
    <w:basedOn w:val="Carpredefinitoparagrafo"/>
    <w:link w:val="Corpotesto"/>
    <w:uiPriority w:val="1"/>
    <w:rsid w:val="004573D8"/>
    <w:rPr>
      <w:rFonts w:ascii="Liberation Serif" w:eastAsia="Liberation Serif" w:hAnsi="Liberation Serif"/>
      <w:sz w:val="20"/>
      <w:szCs w:val="20"/>
      <w:lang w:val="en-US"/>
    </w:rPr>
  </w:style>
  <w:style w:type="table" w:styleId="Grigliatabella">
    <w:name w:val="Table Grid"/>
    <w:basedOn w:val="Tabellanormale"/>
    <w:uiPriority w:val="59"/>
    <w:rsid w:val="004573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73D8"/>
    <w:pPr>
      <w:tabs>
        <w:tab w:val="center" w:pos="4819"/>
        <w:tab w:val="right" w:pos="9638"/>
      </w:tabs>
    </w:pPr>
  </w:style>
  <w:style w:type="character" w:customStyle="1" w:styleId="IntestazioneCarattere">
    <w:name w:val="Intestazione Carattere"/>
    <w:basedOn w:val="Carpredefinitoparagrafo"/>
    <w:link w:val="Intestazione"/>
    <w:uiPriority w:val="99"/>
    <w:rsid w:val="004573D8"/>
    <w:rPr>
      <w:lang w:val="en-US"/>
    </w:rPr>
  </w:style>
  <w:style w:type="paragraph" w:styleId="Pidipagina">
    <w:name w:val="footer"/>
    <w:basedOn w:val="Normale"/>
    <w:link w:val="PidipaginaCarattere"/>
    <w:uiPriority w:val="99"/>
    <w:unhideWhenUsed/>
    <w:rsid w:val="004573D8"/>
    <w:pPr>
      <w:tabs>
        <w:tab w:val="center" w:pos="4819"/>
        <w:tab w:val="right" w:pos="9638"/>
      </w:tabs>
    </w:pPr>
  </w:style>
  <w:style w:type="character" w:customStyle="1" w:styleId="PidipaginaCarattere">
    <w:name w:val="Piè di pagina Carattere"/>
    <w:basedOn w:val="Carpredefinitoparagrafo"/>
    <w:link w:val="Pidipagina"/>
    <w:uiPriority w:val="99"/>
    <w:rsid w:val="004573D8"/>
    <w:rPr>
      <w:lang w:val="en-US"/>
    </w:rPr>
  </w:style>
  <w:style w:type="paragraph" w:styleId="Paragrafoelenco">
    <w:name w:val="List Paragraph"/>
    <w:basedOn w:val="Normale"/>
    <w:uiPriority w:val="34"/>
    <w:qFormat/>
    <w:rsid w:val="00D41A1B"/>
    <w:pPr>
      <w:ind w:left="720"/>
      <w:contextualSpacing/>
    </w:pPr>
  </w:style>
  <w:style w:type="paragraph" w:customStyle="1" w:styleId="PS">
    <w:name w:val="PS"/>
    <w:rsid w:val="005055DD"/>
    <w:pPr>
      <w:widowControl w:val="0"/>
      <w:spacing w:after="0" w:line="240" w:lineRule="auto"/>
      <w:jc w:val="both"/>
    </w:pPr>
    <w:rPr>
      <w:rFonts w:ascii="Courier" w:eastAsia="Times New Roman" w:hAnsi="Courier" w:cs="Times New Roman"/>
      <w:sz w:val="24"/>
      <w:szCs w:val="20"/>
      <w:lang w:eastAsia="it-IT"/>
    </w:rPr>
  </w:style>
  <w:style w:type="paragraph" w:customStyle="1" w:styleId="Paragrafoelenco1">
    <w:name w:val="Paragrafo elenco1"/>
    <w:basedOn w:val="Normale"/>
    <w:rsid w:val="0024545F"/>
    <w:pPr>
      <w:widowControl/>
      <w:spacing w:after="160" w:line="259" w:lineRule="auto"/>
      <w:ind w:left="720"/>
      <w:contextualSpacing/>
    </w:pPr>
    <w:rPr>
      <w:rFonts w:ascii="Calibri" w:eastAsia="Times New Roman"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Torrisi</dc:creator>
  <cp:keywords/>
  <dc:description/>
  <cp:lastModifiedBy>Antonio Scalia</cp:lastModifiedBy>
  <cp:revision>9</cp:revision>
  <dcterms:created xsi:type="dcterms:W3CDTF">2019-11-21T13:12:00Z</dcterms:created>
  <dcterms:modified xsi:type="dcterms:W3CDTF">2019-12-02T14:12:00Z</dcterms:modified>
</cp:coreProperties>
</file>